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drawing>
          <wp:inline distT="0" distB="0" distL="0" distR="0">
            <wp:extent cx="1581150" cy="105727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1581150" cy="1057275"/>
                    </a:xfrm>
                    <a:prstGeom prst="rect">
                      <a:avLst/>
                    </a:prstGeom>
                  </pic:spPr>
                </pic:pic>
              </a:graphicData>
            </a:graphic>
          </wp:inline>
        </w:drawing>
        <mc:AlternateContent>
          <mc:Choice Requires="wps">
            <w:drawing>
              <wp:anchor behindDoc="0" distT="0" distB="0" distL="114300" distR="114300" simplePos="0" locked="0" layoutInCell="1" allowOverlap="1" relativeHeight="3">
                <wp:simplePos x="0" y="0"/>
                <wp:positionH relativeFrom="column">
                  <wp:posOffset>1855470</wp:posOffset>
                </wp:positionH>
                <wp:positionV relativeFrom="paragraph">
                  <wp:posOffset>129540</wp:posOffset>
                </wp:positionV>
                <wp:extent cx="1905" cy="1270"/>
                <wp:effectExtent l="0" t="0" r="0" b="0"/>
                <wp:wrapNone/>
                <wp:docPr id="1" name="Line 4"/>
                <a:graphic xmlns:a="http://schemas.openxmlformats.org/drawingml/2006/main">
                  <a:graphicData uri="http://schemas.microsoft.com/office/word/2010/wordprocessingShape">
                    <wps:wsp>
                      <wps:cNvSpPr/>
                      <wps:spPr>
                        <a:xfrm flipH="1">
                          <a:off x="0" y="0"/>
                          <a:ext cx="1440" cy="0"/>
                        </a:xfrm>
                        <a:prstGeom prst="line">
                          <a:avLst/>
                        </a:prstGeom>
                        <a:ln>
                          <a:noFill/>
                        </a:ln>
                      </wps:spPr>
                      <wps:style>
                        <a:lnRef idx="0"/>
                        <a:fillRef idx="0"/>
                        <a:effectRef idx="0"/>
                        <a:fontRef idx="minor"/>
                      </wps:style>
                      <wps:bodyPr/>
                    </wps:wsp>
                  </a:graphicData>
                </a:graphic>
              </wp:anchor>
            </w:drawing>
          </mc:Choice>
          <mc:Fallback>
            <w:pict>
              <v:line id="shape_0" from="146.1pt,10.2pt" to="146.15pt,10.2pt" ID="Line 4" stroked="f" style="position:absolute;flip:x">
                <v:stroke color="#3465a4" joinstyle="round" endcap="flat"/>
                <v:fill o:detectmouseclick="t" on="false"/>
              </v:line>
            </w:pict>
          </mc:Fallback>
        </mc:AlternateContent>
      </w:r>
    </w:p>
    <w:p>
      <w:pPr>
        <w:pStyle w:val="Normal"/>
        <w:tabs>
          <w:tab w:val="left" w:pos="567" w:leader="none"/>
        </w:tabs>
        <w:jc w:val="both"/>
        <w:rPr>
          <w:rFonts w:ascii="Arial" w:hAnsi="Arial" w:cs="Arial"/>
          <w:sz w:val="20"/>
        </w:rPr>
      </w:pPr>
      <w:bookmarkStart w:id="0" w:name="_GoBack"/>
      <w:bookmarkStart w:id="1" w:name="_GoBack"/>
      <w:bookmarkEnd w:id="1"/>
      <w:r>
        <w:rPr>
          <w:rFonts w:cs="Arial" w:ascii="Arial" w:hAnsi="Arial"/>
          <w:sz w:val="20"/>
        </w:rPr>
      </w:r>
    </w:p>
    <w:p>
      <w:pPr>
        <w:pStyle w:val="Normal"/>
        <w:tabs>
          <w:tab w:val="left" w:pos="567" w:leader="none"/>
        </w:tabs>
        <w:jc w:val="both"/>
        <w:rPr>
          <w:rFonts w:ascii="Arial" w:hAnsi="Arial" w:cs="Arial"/>
          <w:sz w:val="20"/>
        </w:rPr>
      </w:pPr>
      <w:r>
        <w:rPr>
          <w:rFonts w:cs="Arial" w:ascii="Arial" w:hAnsi="Arial"/>
          <w:sz w:val="20"/>
        </w:rPr>
        <w:t>The Northern Athletics Officials’ Association (NAOA) is about friendship, assisting and educating technical officials of all disciplines and levels.  Membership of the NAOA is open to any technical official supporting athletics in the North of England.</w:t>
      </w:r>
    </w:p>
    <w:p>
      <w:pPr>
        <w:pStyle w:val="Normal"/>
        <w:tabs>
          <w:tab w:val="left" w:pos="567" w:leader="none"/>
        </w:tabs>
        <w:jc w:val="both"/>
        <w:rPr>
          <w:rFonts w:ascii="Arial" w:hAnsi="Arial" w:cs="Arial"/>
          <w:sz w:val="20"/>
        </w:rPr>
      </w:pPr>
      <w:r>
        <w:rPr>
          <w:rFonts w:cs="Arial" w:ascii="Arial" w:hAnsi="Arial"/>
          <w:sz w:val="20"/>
        </w:rPr>
        <w:t>The aims of the NAOA are to:-</w:t>
      </w:r>
    </w:p>
    <w:p>
      <w:pPr>
        <w:pStyle w:val="Normal"/>
        <w:tabs>
          <w:tab w:val="left" w:pos="3000" w:leader="none"/>
          <w:tab w:val="left" w:pos="3120" w:leader="none"/>
        </w:tabs>
        <w:ind w:left="567" w:hanging="567"/>
        <w:jc w:val="both"/>
        <w:rPr>
          <w:rFonts w:ascii="Arial" w:hAnsi="Arial" w:cs="Arial"/>
          <w:sz w:val="20"/>
        </w:rPr>
      </w:pPr>
      <w:r>
        <w:rPr>
          <w:rFonts w:cs="Arial" w:ascii="Arial" w:hAnsi="Arial"/>
          <w:sz w:val="20"/>
        </w:rPr>
        <w:tab/>
        <w:t>Act at all times in the best interests of its Members.</w:t>
      </w:r>
    </w:p>
    <w:p>
      <w:pPr>
        <w:pStyle w:val="Normal"/>
        <w:tabs>
          <w:tab w:val="left" w:pos="3000" w:leader="none"/>
          <w:tab w:val="left" w:pos="3120" w:leader="none"/>
        </w:tabs>
        <w:ind w:left="567" w:hanging="567"/>
        <w:jc w:val="both"/>
        <w:rPr>
          <w:rFonts w:ascii="Arial" w:hAnsi="Arial" w:cs="Arial"/>
          <w:sz w:val="20"/>
        </w:rPr>
      </w:pPr>
      <w:r>
        <w:rPr>
          <w:rFonts w:cs="Arial" w:ascii="Arial" w:hAnsi="Arial"/>
          <w:sz w:val="20"/>
        </w:rPr>
        <w:tab/>
        <w:t>Encourage a high standard of officiating.</w:t>
      </w:r>
    </w:p>
    <w:p>
      <w:pPr>
        <w:pStyle w:val="Normal"/>
        <w:tabs>
          <w:tab w:val="left" w:pos="3000" w:leader="none"/>
          <w:tab w:val="left" w:pos="3120" w:leader="none"/>
        </w:tabs>
        <w:ind w:left="567" w:hanging="567"/>
        <w:jc w:val="both"/>
        <w:rPr>
          <w:rFonts w:ascii="Arial" w:hAnsi="Arial" w:cs="Arial"/>
          <w:sz w:val="20"/>
        </w:rPr>
      </w:pPr>
      <w:r>
        <w:rPr>
          <w:rFonts w:cs="Arial" w:ascii="Arial" w:hAnsi="Arial"/>
          <w:sz w:val="20"/>
        </w:rPr>
        <w:tab/>
        <w:t>Raise the status of technical officials.</w:t>
      </w:r>
    </w:p>
    <w:p>
      <w:pPr>
        <w:pStyle w:val="Normal"/>
        <w:tabs>
          <w:tab w:val="left" w:pos="3000" w:leader="none"/>
          <w:tab w:val="left" w:pos="3120" w:leader="none"/>
        </w:tabs>
        <w:ind w:left="567" w:hanging="567"/>
        <w:jc w:val="both"/>
        <w:rPr>
          <w:rFonts w:ascii="Arial" w:hAnsi="Arial" w:cs="Arial"/>
          <w:sz w:val="20"/>
        </w:rPr>
      </w:pPr>
      <w:r>
        <w:rPr>
          <w:rFonts w:cs="Arial" w:ascii="Arial" w:hAnsi="Arial"/>
          <w:sz w:val="20"/>
        </w:rPr>
        <w:tab/>
        <w:t>Represent the views of Members on issues affecting technical officials.</w:t>
      </w:r>
    </w:p>
    <w:p>
      <w:pPr>
        <w:pStyle w:val="Normal"/>
        <w:tabs>
          <w:tab w:val="left" w:pos="3000" w:leader="none"/>
          <w:tab w:val="left" w:pos="3120" w:leader="none"/>
        </w:tabs>
        <w:ind w:left="567" w:hanging="567"/>
        <w:jc w:val="both"/>
        <w:rPr>
          <w:rFonts w:ascii="Arial" w:hAnsi="Arial" w:cs="Arial"/>
          <w:sz w:val="20"/>
        </w:rPr>
      </w:pPr>
      <w:r>
        <w:rPr>
          <w:rFonts w:cs="Arial" w:ascii="Arial" w:hAnsi="Arial"/>
          <w:sz w:val="20"/>
        </w:rPr>
        <w:tab/>
        <w:t>Improve the standards of facilities provided for technical officials.</w:t>
      </w:r>
    </w:p>
    <w:p>
      <w:pPr>
        <w:pStyle w:val="Normal"/>
        <w:tabs>
          <w:tab w:val="left" w:pos="3000" w:leader="none"/>
          <w:tab w:val="left" w:pos="3120" w:leader="none"/>
        </w:tabs>
        <w:ind w:left="567" w:hanging="567"/>
        <w:jc w:val="both"/>
        <w:rPr>
          <w:rFonts w:ascii="Arial" w:hAnsi="Arial" w:cs="Arial"/>
          <w:sz w:val="20"/>
        </w:rPr>
      </w:pPr>
      <w:r>
        <w:rPr>
          <w:rFonts w:cs="Arial" w:ascii="Arial" w:hAnsi="Arial"/>
          <w:sz w:val="20"/>
        </w:rPr>
        <w:tab/>
        <w:t>Assist in the training of technical officials.</w:t>
      </w:r>
    </w:p>
    <w:p>
      <w:pPr>
        <w:pStyle w:val="Normal"/>
        <w:tabs>
          <w:tab w:val="left" w:pos="3000" w:leader="none"/>
          <w:tab w:val="left" w:pos="3120" w:leader="none"/>
        </w:tabs>
        <w:ind w:left="567" w:hanging="567"/>
        <w:jc w:val="both"/>
        <w:rPr>
          <w:rFonts w:ascii="Arial" w:hAnsi="Arial" w:cs="Arial"/>
          <w:sz w:val="20"/>
          <w:u w:val="single"/>
        </w:rPr>
      </w:pPr>
      <w:r>
        <w:rPr>
          <w:rFonts w:cs="Arial" w:ascii="Arial" w:hAnsi="Arial"/>
          <w:sz w:val="20"/>
          <w:u w:val="single"/>
        </w:rPr>
      </w:r>
    </w:p>
    <w:p>
      <w:pPr>
        <w:pStyle w:val="Normal"/>
        <w:tabs>
          <w:tab w:val="left" w:pos="3000" w:leader="none"/>
          <w:tab w:val="left" w:pos="3120" w:leader="none"/>
        </w:tabs>
        <w:ind w:left="567" w:hanging="567"/>
        <w:jc w:val="both"/>
        <w:rPr>
          <w:rFonts w:ascii="Arial" w:hAnsi="Arial" w:cs="Arial"/>
          <w:sz w:val="20"/>
          <w:u w:val="single"/>
        </w:rPr>
      </w:pPr>
      <w:r>
        <w:rPr>
          <w:rFonts w:cs="Arial" w:ascii="Arial" w:hAnsi="Arial"/>
          <w:sz w:val="20"/>
          <w:u w:val="single"/>
        </w:rPr>
        <w:t>Annual Conference</w:t>
      </w:r>
    </w:p>
    <w:p>
      <w:pPr>
        <w:pStyle w:val="Normal"/>
        <w:tabs>
          <w:tab w:val="left" w:pos="567" w:leader="none"/>
          <w:tab w:val="left" w:pos="3120" w:leader="none"/>
        </w:tabs>
        <w:jc w:val="both"/>
        <w:rPr/>
      </w:pPr>
      <w:r>
        <w:rPr>
          <w:rFonts w:cs="Arial" w:ascii="Arial" w:hAnsi="Arial"/>
          <w:sz w:val="20"/>
        </w:rPr>
        <w:t>The 2017 AGM and Conference, on 1st October 2017, was held at the Holiday Inn Brighouse-Bradford where our guest speaker was Peter Warden. Peter spoke about his early athletics experiences with Airedale Harriers and his international career as a 400m hurdler which took him to the 1964 Olympics in Tokyo, Japan and the 1966 Commonwealth Games in Kingston, Jamaica. Peter went on to speak about his career as a National Coach from 1981 to 1994 with anecdotes about many well known athletes that he coached during this period. The Conference again included development workshops. The next AGM and Conference will again be held at the Holiday Inn Brighouse-Bradford on Sunday 7th October 2018. Further details can be found on the England Athletics website from January 2018.</w:t>
      </w:r>
    </w:p>
    <w:p>
      <w:pPr>
        <w:pStyle w:val="Normal"/>
        <w:tabs>
          <w:tab w:val="left" w:pos="567" w:leader="none"/>
          <w:tab w:val="left" w:pos="3120" w:leader="none"/>
        </w:tabs>
        <w:jc w:val="both"/>
        <w:rPr>
          <w:rFonts w:ascii="Arial" w:hAnsi="Arial" w:cs="Arial"/>
          <w:sz w:val="20"/>
        </w:rPr>
      </w:pPr>
      <w:r>
        <w:rPr>
          <w:rFonts w:cs="Arial" w:ascii="Arial" w:hAnsi="Arial"/>
          <w:sz w:val="20"/>
        </w:rPr>
      </w:r>
    </w:p>
    <w:p>
      <w:pPr>
        <w:pStyle w:val="Normal"/>
        <w:tabs>
          <w:tab w:val="left" w:pos="3000" w:leader="none"/>
          <w:tab w:val="left" w:pos="3120" w:leader="none"/>
        </w:tabs>
        <w:jc w:val="both"/>
        <w:rPr>
          <w:rFonts w:ascii="Arial" w:hAnsi="Arial" w:cs="Arial"/>
          <w:sz w:val="20"/>
        </w:rPr>
      </w:pPr>
      <w:r>
        <w:rPr>
          <w:rFonts w:cs="Arial" w:ascii="Arial" w:hAnsi="Arial"/>
          <w:sz w:val="20"/>
          <w:u w:val="single"/>
        </w:rPr>
        <w:t>UKA Rule Book</w:t>
      </w:r>
      <w:r>
        <w:rPr>
          <w:rFonts w:cs="Arial" w:ascii="Arial" w:hAnsi="Arial"/>
          <w:sz w:val="20"/>
        </w:rPr>
        <w:t>. A new rule book will be published in 2018 and will be valid from 1st April 2018 to 31st March 2020.  The 2018 rule book will be issued to all Members (one copy for Joint Members) on receipt of membership payment.</w:t>
      </w:r>
    </w:p>
    <w:p>
      <w:pPr>
        <w:pStyle w:val="Normal"/>
        <w:tabs>
          <w:tab w:val="left" w:pos="3000" w:leader="none"/>
          <w:tab w:val="left" w:pos="3120" w:leader="none"/>
        </w:tabs>
        <w:jc w:val="both"/>
        <w:rPr>
          <w:rFonts w:ascii="Arial" w:hAnsi="Arial" w:cs="Arial"/>
          <w:sz w:val="20"/>
        </w:rPr>
      </w:pPr>
      <w:r>
        <w:rPr>
          <w:rFonts w:cs="Arial" w:ascii="Arial" w:hAnsi="Arial"/>
          <w:sz w:val="20"/>
        </w:rPr>
      </w:r>
    </w:p>
    <w:p>
      <w:pPr>
        <w:pStyle w:val="Normal"/>
        <w:tabs>
          <w:tab w:val="left" w:pos="3000" w:leader="none"/>
          <w:tab w:val="left" w:pos="3120" w:leader="none"/>
        </w:tabs>
        <w:jc w:val="both"/>
        <w:rPr>
          <w:rFonts w:ascii="Arial" w:hAnsi="Arial" w:cs="Arial"/>
          <w:sz w:val="20"/>
        </w:rPr>
      </w:pPr>
      <w:r>
        <w:rPr>
          <w:rFonts w:cs="Arial" w:ascii="Arial" w:hAnsi="Arial"/>
          <w:sz w:val="20"/>
          <w:u w:val="single"/>
        </w:rPr>
        <w:t>NAOA subscriptions for 1</w:t>
      </w:r>
      <w:r>
        <w:rPr>
          <w:rFonts w:cs="Arial" w:ascii="Arial" w:hAnsi="Arial"/>
          <w:sz w:val="20"/>
          <w:u w:val="single"/>
          <w:vertAlign w:val="superscript"/>
        </w:rPr>
        <w:t>st</w:t>
      </w:r>
      <w:r>
        <w:rPr>
          <w:rFonts w:cs="Arial" w:ascii="Arial" w:hAnsi="Arial"/>
          <w:sz w:val="20"/>
          <w:u w:val="single"/>
        </w:rPr>
        <w:t xml:space="preserve"> January 2018 to 31</w:t>
      </w:r>
      <w:r>
        <w:rPr>
          <w:rFonts w:cs="Arial" w:ascii="Arial" w:hAnsi="Arial"/>
          <w:sz w:val="20"/>
          <w:u w:val="single"/>
          <w:vertAlign w:val="superscript"/>
        </w:rPr>
        <w:t>st</w:t>
      </w:r>
      <w:r>
        <w:rPr>
          <w:rFonts w:cs="Arial" w:ascii="Arial" w:hAnsi="Arial"/>
          <w:sz w:val="20"/>
          <w:u w:val="single"/>
        </w:rPr>
        <w:t xml:space="preserve"> December 2018</w:t>
      </w:r>
      <w:r>
        <w:rPr>
          <w:rFonts w:cs="Arial" w:ascii="Arial" w:hAnsi="Arial"/>
          <w:sz w:val="20"/>
        </w:rPr>
        <w:t>::</w:t>
      </w:r>
    </w:p>
    <w:p>
      <w:pPr>
        <w:pStyle w:val="Normal"/>
        <w:tabs>
          <w:tab w:val="left" w:pos="3000" w:leader="none"/>
          <w:tab w:val="left" w:pos="3120" w:leader="none"/>
        </w:tabs>
        <w:jc w:val="both"/>
        <w:rPr>
          <w:rFonts w:ascii="Arial" w:hAnsi="Arial" w:cs="Arial"/>
          <w:sz w:val="20"/>
        </w:rPr>
      </w:pPr>
      <w:r>
        <w:rPr>
          <w:rFonts w:cs="Arial" w:ascii="Arial" w:hAnsi="Arial"/>
          <w:sz w:val="20"/>
        </w:rPr>
        <w:t>Individual Membership: £10 per year.</w:t>
      </w:r>
    </w:p>
    <w:p>
      <w:pPr>
        <w:pStyle w:val="Normal"/>
        <w:tabs>
          <w:tab w:val="left" w:pos="3000" w:leader="none"/>
          <w:tab w:val="left" w:pos="3120" w:leader="none"/>
        </w:tabs>
        <w:jc w:val="both"/>
        <w:rPr>
          <w:rFonts w:ascii="Arial" w:hAnsi="Arial" w:cs="Arial"/>
          <w:sz w:val="20"/>
        </w:rPr>
      </w:pPr>
      <w:r>
        <w:rPr>
          <w:rFonts w:cs="Arial" w:ascii="Arial" w:hAnsi="Arial"/>
          <w:sz w:val="20"/>
        </w:rPr>
        <w:t>Joint Membership (two Members at one address): £15 per year (£7.50 each).</w:t>
      </w:r>
    </w:p>
    <w:p>
      <w:pPr>
        <w:pStyle w:val="Normal"/>
        <w:tabs>
          <w:tab w:val="left" w:pos="3000" w:leader="none"/>
          <w:tab w:val="left" w:pos="3120" w:leader="none"/>
        </w:tabs>
        <w:jc w:val="both"/>
        <w:rPr>
          <w:rFonts w:ascii="Arial" w:hAnsi="Arial" w:cs="Arial"/>
          <w:sz w:val="20"/>
        </w:rPr>
      </w:pPr>
      <w:r>
        <w:rPr>
          <w:rFonts w:cs="Arial" w:ascii="Arial" w:hAnsi="Arial"/>
          <w:sz w:val="20"/>
        </w:rPr>
      </w:r>
    </w:p>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t>Membership Subscriptions should be sent electronically (BACS) to the NAOA Bank Account with the TSB Bank:</w:t>
      </w:r>
    </w:p>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t>Account Name:</w:t>
        <w:tab/>
        <w:t>Northern Athletics Officials’ Association</w:t>
      </w:r>
    </w:p>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t>Account No:</w:t>
        <w:tab/>
        <w:tab/>
        <w:t>06724760</w:t>
      </w:r>
    </w:p>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t>Account Sort Code:</w:t>
        <w:tab/>
        <w:t>77-71-06</w:t>
      </w:r>
    </w:p>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t>Alternatively please pay your NAOA Membership Subscription, using the above, at your local TSB Branch.</w:t>
      </w:r>
    </w:p>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p>
      <w:pPr>
        <w:pStyle w:val="Normal"/>
        <w:tabs>
          <w:tab w:val="left" w:pos="3000" w:leader="none"/>
          <w:tab w:val="left" w:pos="3120" w:leader="none"/>
        </w:tabs>
        <w:jc w:val="both"/>
        <w:rPr>
          <w:rFonts w:ascii="Arial" w:hAnsi="Arial" w:cs="Arial"/>
          <w:sz w:val="20"/>
        </w:rPr>
      </w:pPr>
      <w:r>
        <w:rPr>
          <w:rFonts w:cs="Arial" w:ascii="Arial" w:hAnsi="Arial"/>
          <w:sz w:val="20"/>
        </w:rPr>
        <w:t>As a last resort, please send cheques (made payable to “Northern Athletics Officials’ Association”) by post to:</w:t>
      </w:r>
    </w:p>
    <w:p>
      <w:pPr>
        <w:pStyle w:val="Normal"/>
        <w:tabs>
          <w:tab w:val="left" w:pos="3000" w:leader="none"/>
          <w:tab w:val="left" w:pos="3120" w:leader="none"/>
        </w:tabs>
        <w:jc w:val="both"/>
        <w:rPr>
          <w:rFonts w:ascii="Arial" w:hAnsi="Arial" w:cs="Arial"/>
          <w:sz w:val="20"/>
        </w:rPr>
      </w:pPr>
      <w:r>
        <w:rPr>
          <w:rFonts w:cs="Arial" w:ascii="Arial" w:hAnsi="Arial"/>
          <w:sz w:val="20"/>
        </w:rPr>
        <w:t>Andy Parker (Membership Secretary), 47 Glenluce Drive, Farringdon Park, Preston, Lancashire PR1 5TD.</w:t>
      </w:r>
    </w:p>
    <w:p>
      <w:pPr>
        <w:pStyle w:val="Normal"/>
        <w:tabs>
          <w:tab w:val="left" w:pos="3000" w:leader="none"/>
          <w:tab w:val="left" w:pos="3120" w:leader="none"/>
        </w:tabs>
        <w:jc w:val="both"/>
        <w:rPr>
          <w:rFonts w:ascii="Arial" w:hAnsi="Arial" w:cs="Arial"/>
          <w:sz w:val="20"/>
        </w:rPr>
      </w:pPr>
      <w:r>
        <w:rPr>
          <w:rFonts w:cs="Arial" w:ascii="Arial" w:hAnsi="Arial"/>
          <w:sz w:val="20"/>
        </w:rPr>
      </w:r>
    </w:p>
    <w:p>
      <w:pPr>
        <w:pStyle w:val="Normal"/>
        <w:tabs>
          <w:tab w:val="left" w:pos="3000" w:leader="none"/>
          <w:tab w:val="left" w:pos="3120" w:leader="none"/>
        </w:tabs>
        <w:jc w:val="both"/>
        <w:rPr/>
      </w:pPr>
      <w:r>
        <w:rPr>
          <w:rFonts w:cs="Arial" w:ascii="Arial" w:hAnsi="Arial"/>
          <w:sz w:val="20"/>
        </w:rPr>
        <w:t xml:space="preserve">If you have any queries please contact Andy Parker by email at: </w:t>
      </w:r>
      <w:hyperlink r:id="rId3">
        <w:r>
          <w:rPr>
            <w:rStyle w:val="InternetLink"/>
            <w:rFonts w:cs="Arial" w:ascii="Arial" w:hAnsi="Arial"/>
            <w:sz w:val="20"/>
          </w:rPr>
          <w:t>andy.parker@blueyonder.co.uk</w:t>
        </w:r>
      </w:hyperlink>
      <w:r>
        <w:rPr>
          <w:rFonts w:cs="Arial" w:ascii="Arial" w:hAnsi="Arial"/>
          <w:sz w:val="20"/>
        </w:rPr>
        <w:t>.</w:t>
      </w:r>
    </w:p>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p>
      <w:pPr>
        <w:pStyle w:val="Normal"/>
        <w:tabs>
          <w:tab w:val="left" w:pos="1134" w:leader="none"/>
          <w:tab w:val="left" w:pos="2552" w:leader="none"/>
          <w:tab w:val="left" w:pos="3000" w:leader="none"/>
          <w:tab w:val="left" w:pos="3120" w:leader="none"/>
        </w:tabs>
        <w:jc w:val="both"/>
        <w:rPr>
          <w:rFonts w:ascii="Arial" w:hAnsi="Arial" w:cs="Arial"/>
          <w:b/>
          <w:b/>
          <w:sz w:val="20"/>
        </w:rPr>
      </w:pPr>
      <w:r>
        <w:rPr>
          <w:rFonts w:cs="Arial" w:ascii="Arial" w:hAnsi="Arial"/>
          <w:b/>
          <w:sz w:val="20"/>
        </w:rPr>
        <w:t>Please note that it is essential that the following is completed and emailed to Andy Parker (regardless of the method of payment).</w:t>
      </w:r>
    </w:p>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p>
      <w:pPr>
        <w:pStyle w:val="Normal"/>
        <w:tabs>
          <w:tab w:val="left" w:pos="1134" w:leader="none"/>
          <w:tab w:val="left" w:pos="2552" w:leader="none"/>
          <w:tab w:val="left" w:pos="3000" w:leader="none"/>
          <w:tab w:val="left" w:pos="3120" w:leader="none"/>
        </w:tabs>
        <w:jc w:val="both"/>
        <w:rPr>
          <w:rFonts w:ascii="Arial" w:hAnsi="Arial" w:cs="Arial"/>
          <w:b/>
          <w:b/>
          <w:sz w:val="20"/>
          <w:u w:val="single"/>
        </w:rPr>
      </w:pPr>
      <w:r>
        <w:rPr>
          <w:rFonts w:cs="Arial" w:ascii="Arial" w:hAnsi="Arial"/>
          <w:b/>
          <w:sz w:val="20"/>
          <w:u w:val="single"/>
        </w:rPr>
        <w:t>Membership Form:</w:t>
      </w:r>
    </w:p>
    <w:p>
      <w:pPr>
        <w:pStyle w:val="Normal"/>
        <w:tabs>
          <w:tab w:val="left" w:pos="1134" w:leader="none"/>
          <w:tab w:val="left" w:pos="2552" w:leader="none"/>
          <w:tab w:val="left" w:pos="3000" w:leader="none"/>
          <w:tab w:val="left" w:pos="3120" w:leader="none"/>
        </w:tabs>
        <w:jc w:val="both"/>
        <w:rPr>
          <w:rFonts w:ascii="Arial" w:hAnsi="Arial" w:cs="Arial"/>
          <w:b/>
          <w:b/>
          <w:sz w:val="20"/>
          <w:u w:val="single"/>
        </w:rPr>
      </w:pPr>
      <w:r>
        <w:rPr>
          <w:rFonts w:cs="Calibri" w:ascii="Calibri" w:hAnsi="Calibri"/>
          <w:color w:val="000000"/>
        </w:rPr>
        <w:t>I have paid my Membership fee (delete as appropriate): by BACS / by Cheque / in Cash / at Bank.</w:t>
      </w:r>
    </w:p>
    <w:p>
      <w:pPr>
        <w:pStyle w:val="Normal"/>
        <w:tabs>
          <w:tab w:val="left" w:pos="1134" w:leader="none"/>
          <w:tab w:val="left" w:pos="2552" w:leader="none"/>
          <w:tab w:val="left" w:pos="3000" w:leader="none"/>
          <w:tab w:val="left" w:pos="3120" w:leader="none"/>
        </w:tabs>
        <w:jc w:val="both"/>
        <w:rPr>
          <w:rFonts w:ascii="Arial" w:hAnsi="Arial" w:cs="Arial"/>
          <w:sz w:val="20"/>
          <w:u w:val="single"/>
        </w:rPr>
      </w:pPr>
      <w:r>
        <w:rPr>
          <w:rFonts w:cs="Arial" w:ascii="Arial" w:hAnsi="Arial"/>
          <w:sz w:val="20"/>
          <w:u w:val="single"/>
        </w:rPr>
      </w:r>
    </w:p>
    <w:tbl>
      <w:tblPr>
        <w:tblStyle w:val="TableGrid"/>
        <w:tblW w:w="9857" w:type="dxa"/>
        <w:jc w:val="left"/>
        <w:tblInd w:w="-5" w:type="dxa"/>
        <w:tblCellMar>
          <w:top w:w="0" w:type="dxa"/>
          <w:left w:w="103" w:type="dxa"/>
          <w:bottom w:w="0" w:type="dxa"/>
          <w:right w:w="108" w:type="dxa"/>
        </w:tblCellMar>
        <w:tblLook w:firstRow="1" w:noVBand="1" w:lastRow="0" w:firstColumn="1" w:lastColumn="0" w:noHBand="0" w:val="04a0"/>
      </w:tblPr>
      <w:tblGrid>
        <w:gridCol w:w="1817"/>
        <w:gridCol w:w="8039"/>
      </w:tblGrid>
      <w:tr>
        <w:trPr/>
        <w:tc>
          <w:tcPr>
            <w:tcW w:w="1817"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b/>
                <w:b/>
                <w:sz w:val="20"/>
              </w:rPr>
            </w:pPr>
            <w:r>
              <w:rPr>
                <w:rFonts w:cs="Arial" w:ascii="Arial" w:hAnsi="Arial"/>
                <w:b/>
                <w:sz w:val="20"/>
              </w:rPr>
              <w:t>Name:</w:t>
            </w:r>
          </w:p>
        </w:tc>
        <w:tc>
          <w:tcPr>
            <w:tcW w:w="8039"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tc>
      </w:tr>
      <w:tr>
        <w:trPr/>
        <w:tc>
          <w:tcPr>
            <w:tcW w:w="1817"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b/>
                <w:b/>
                <w:sz w:val="20"/>
              </w:rPr>
            </w:pPr>
            <w:r>
              <w:rPr>
                <w:rFonts w:cs="Arial" w:ascii="Arial" w:hAnsi="Arial"/>
                <w:b/>
                <w:sz w:val="20"/>
              </w:rPr>
              <w:t>Address:</w:t>
            </w:r>
          </w:p>
        </w:tc>
        <w:tc>
          <w:tcPr>
            <w:tcW w:w="8039"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tc>
      </w:tr>
      <w:tr>
        <w:trPr/>
        <w:tc>
          <w:tcPr>
            <w:tcW w:w="1817"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b/>
                <w:b/>
                <w:sz w:val="20"/>
              </w:rPr>
            </w:pPr>
            <w:r>
              <w:rPr>
                <w:rFonts w:cs="Arial" w:ascii="Arial" w:hAnsi="Arial"/>
                <w:b/>
                <w:sz w:val="20"/>
              </w:rPr>
              <w:t>Telephone No.</w:t>
            </w:r>
          </w:p>
        </w:tc>
        <w:tc>
          <w:tcPr>
            <w:tcW w:w="8039"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tc>
      </w:tr>
      <w:tr>
        <w:trPr/>
        <w:tc>
          <w:tcPr>
            <w:tcW w:w="1817"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b/>
                <w:b/>
                <w:sz w:val="20"/>
              </w:rPr>
            </w:pPr>
            <w:r>
              <w:rPr>
                <w:rFonts w:cs="Arial" w:ascii="Arial" w:hAnsi="Arial"/>
                <w:b/>
                <w:sz w:val="20"/>
              </w:rPr>
              <w:t>Email Address:</w:t>
            </w:r>
          </w:p>
        </w:tc>
        <w:tc>
          <w:tcPr>
            <w:tcW w:w="8039"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tc>
      </w:tr>
      <w:tr>
        <w:trPr/>
        <w:tc>
          <w:tcPr>
            <w:tcW w:w="1817"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b/>
                <w:b/>
                <w:sz w:val="20"/>
              </w:rPr>
            </w:pPr>
            <w:r>
              <w:rPr>
                <w:rFonts w:cs="Arial" w:ascii="Arial" w:hAnsi="Arial"/>
                <w:b/>
                <w:sz w:val="20"/>
              </w:rPr>
              <w:t>Discipline</w:t>
            </w:r>
          </w:p>
        </w:tc>
        <w:tc>
          <w:tcPr>
            <w:tcW w:w="8039"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tc>
      </w:tr>
      <w:tr>
        <w:trPr/>
        <w:tc>
          <w:tcPr>
            <w:tcW w:w="1817"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b/>
                <w:b/>
                <w:sz w:val="20"/>
              </w:rPr>
            </w:pPr>
            <w:r>
              <w:rPr>
                <w:rFonts w:cs="Arial" w:ascii="Arial" w:hAnsi="Arial"/>
                <w:b/>
                <w:sz w:val="20"/>
              </w:rPr>
              <w:t>Current Level:</w:t>
            </w:r>
          </w:p>
        </w:tc>
        <w:tc>
          <w:tcPr>
            <w:tcW w:w="8039"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tc>
      </w:tr>
      <w:tr>
        <w:trPr/>
        <w:tc>
          <w:tcPr>
            <w:tcW w:w="1817"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b/>
                <w:b/>
                <w:sz w:val="20"/>
              </w:rPr>
            </w:pPr>
            <w:r>
              <w:rPr>
                <w:rFonts w:cs="Arial" w:ascii="Arial" w:hAnsi="Arial"/>
                <w:b/>
                <w:sz w:val="20"/>
              </w:rPr>
              <w:t>Comp. County:</w:t>
            </w:r>
          </w:p>
        </w:tc>
        <w:tc>
          <w:tcPr>
            <w:tcW w:w="8039" w:type="dxa"/>
            <w:tcBorders/>
            <w:shd w:fill="auto" w:val="clear"/>
            <w:tcMar>
              <w:left w:w="103" w:type="dxa"/>
            </w:tcMar>
          </w:tcPr>
          <w:p>
            <w:pPr>
              <w:pStyle w:val="Normal"/>
              <w:tabs>
                <w:tab w:val="left" w:pos="1134" w:leader="none"/>
                <w:tab w:val="left" w:pos="2552" w:leader="none"/>
                <w:tab w:val="left" w:pos="3000" w:leader="none"/>
                <w:tab w:val="left" w:pos="3120" w:leader="none"/>
              </w:tabs>
              <w:jc w:val="both"/>
              <w:rPr>
                <w:rFonts w:ascii="Arial" w:hAnsi="Arial" w:cs="Arial"/>
                <w:sz w:val="20"/>
              </w:rPr>
            </w:pPr>
            <w:r>
              <w:rPr>
                <w:rFonts w:cs="Arial" w:ascii="Arial" w:hAnsi="Arial"/>
                <w:sz w:val="20"/>
              </w:rPr>
            </w:r>
          </w:p>
        </w:tc>
      </w:tr>
    </w:tbl>
    <w:p>
      <w:pPr>
        <w:pStyle w:val="Normal"/>
        <w:tabs>
          <w:tab w:val="left" w:pos="1440" w:leader="none"/>
          <w:tab w:val="left" w:pos="2880" w:leader="none"/>
          <w:tab w:val="left" w:pos="4320" w:leader="none"/>
          <w:tab w:val="left" w:pos="5760" w:leader="none"/>
        </w:tabs>
        <w:jc w:val="both"/>
        <w:rPr/>
      </w:pPr>
      <w:r>
        <w:rPr/>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0"/>
      <w:lang w:val="en-GB" w:eastAsia="en-US" w:bidi="ar-SA"/>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bCs/>
      <w:sz w:val="20"/>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rPr>
      <w:color w:val="0000FF"/>
      <w:u w:val="single"/>
    </w:rPr>
  </w:style>
  <w:style w:type="character" w:styleId="BalloonTextChar" w:customStyle="1">
    <w:name w:val="Balloon Text Char"/>
    <w:basedOn w:val="DefaultParagraphFont"/>
    <w:link w:val="BalloonText"/>
    <w:uiPriority w:val="99"/>
    <w:semiHidden/>
    <w:qFormat/>
    <w:rsid w:val="00f739a4"/>
    <w:rPr>
      <w:rFonts w:ascii="Tahoma" w:hAnsi="Tahoma" w:cs="Tahoma"/>
      <w:sz w:val="16"/>
      <w:szCs w:val="16"/>
      <w:lang w:eastAsia="en-U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qFormat/>
    <w:rsid w:val="00f10864"/>
    <w:pPr/>
    <w:rPr>
      <w:rFonts w:ascii="Arial" w:hAnsi="Arial"/>
    </w:rPr>
  </w:style>
  <w:style w:type="paragraph" w:styleId="BalloonText">
    <w:name w:val="Balloon Text"/>
    <w:basedOn w:val="Normal"/>
    <w:link w:val="BalloonTextChar"/>
    <w:uiPriority w:val="99"/>
    <w:semiHidden/>
    <w:unhideWhenUsed/>
    <w:qFormat/>
    <w:rsid w:val="00f739a4"/>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e00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ndy.parker@blueyonder.co.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Application>LibreOffice/5.0.2.2$Windows_X86_64 LibreOffice_project/37b43f919e4de5eeaca9b9755ed688758a8251fe</Application>
  <Paragraphs>33</Paragraphs>
  <Company>MANCAT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2016-08-12T18:27:00Z</dcterms:created>
  <dc:creator>pyates</dc:creator>
  <dc:language>en-GB</dc:language>
  <cp:lastPrinted>2017-10-04T23:19:00Z</cp:lastPrinted>
  <dcterms:modified xsi:type="dcterms:W3CDTF">2018-07-12T19:05:13Z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MANCAT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